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3C77" w14:textId="4ACE05F5" w:rsidR="00FA3F84" w:rsidRDefault="00FA3F84" w:rsidP="00FA3F84">
      <w:pPr>
        <w:rPr>
          <w:rFonts w:ascii="Times New Roman" w:hAnsi="Times New Roman" w:cs="Times New Roman"/>
          <w:sz w:val="24"/>
          <w:szCs w:val="24"/>
        </w:rPr>
      </w:pPr>
      <w:r w:rsidRPr="00FA3F84">
        <w:rPr>
          <w:rFonts w:ascii="Times New Roman" w:hAnsi="Times New Roman" w:cs="Times New Roman"/>
          <w:sz w:val="24"/>
          <w:szCs w:val="24"/>
        </w:rPr>
        <w:t>Do you have an internal system you use in the Board area for managing participant expenditures</w:t>
      </w:r>
      <w:r w:rsidR="009A2154">
        <w:rPr>
          <w:rFonts w:ascii="Times New Roman" w:hAnsi="Times New Roman" w:cs="Times New Roman"/>
          <w:sz w:val="24"/>
          <w:szCs w:val="24"/>
        </w:rPr>
        <w:t>?</w:t>
      </w:r>
      <w:r w:rsidRPr="00FA3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CEA32" w14:textId="7C5D2D20" w:rsidR="00B60D4A" w:rsidRDefault="00B60D4A" w:rsidP="00FA3F84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NEWDB utilizes the state’s case management system</w:t>
      </w:r>
      <w:r w:rsidR="00B057C5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(Oklahoma Job Match)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for tracking participant expenses. In addition, our client files include an ITA Tracking Worksheet, which is uploaded into the state’s case management system (</w:t>
      </w:r>
      <w:hyperlink r:id="rId10" w:anchor="page=20)" w:history="1">
        <w:r w:rsidRPr="00B60D4A">
          <w:rPr>
            <w:rStyle w:val="Hyperlink"/>
            <w:rFonts w:ascii="Times New Roman" w:hAnsi="Times New Roman" w:cs="Times New Roman"/>
            <w:color w:val="68A0B0" w:themeColor="hyperlink" w:themeTint="BF"/>
            <w:sz w:val="24"/>
            <w:szCs w:val="24"/>
          </w:rPr>
          <w:t>reference page 20 of the ITA Policy</w:t>
        </w:r>
      </w:hyperlink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). Finally, the NEWDB’s monitor tracks participant expenses on their monitoring tool.</w:t>
      </w:r>
    </w:p>
    <w:p w14:paraId="3EC94FA3" w14:textId="77777777" w:rsidR="00B00D6E" w:rsidRDefault="00B00D6E" w:rsidP="00FA3F84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</w:p>
    <w:p w14:paraId="5E90E538" w14:textId="77E6DD3F" w:rsidR="00B00D6E" w:rsidRPr="00B60D4A" w:rsidRDefault="00B00D6E" w:rsidP="00FA3F84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Note: all current NEWDB policies are listed on NEWDB’s website, here: </w:t>
      </w:r>
      <w:hyperlink r:id="rId11" w:history="1">
        <w:r>
          <w:rPr>
            <w:rStyle w:val="Hyperlink"/>
          </w:rPr>
          <w:t>Policies – Northeast Workforce Development Board (northeastworkforceboard.com)</w:t>
        </w:r>
      </w:hyperlink>
      <w:r>
        <w:t xml:space="preserve"> .</w:t>
      </w:r>
    </w:p>
    <w:p w14:paraId="724A61F7" w14:textId="77777777" w:rsidR="00FA3F84" w:rsidRPr="00FA3F84" w:rsidRDefault="00FA3F84" w:rsidP="00FA3F84">
      <w:pPr>
        <w:rPr>
          <w:rFonts w:ascii="Times New Roman" w:hAnsi="Times New Roman" w:cs="Times New Roman"/>
          <w:sz w:val="24"/>
          <w:szCs w:val="24"/>
        </w:rPr>
      </w:pPr>
    </w:p>
    <w:p w14:paraId="2A9D3E89" w14:textId="77777777" w:rsidR="00FA3F84" w:rsidRDefault="00FA3F84" w:rsidP="00FA3F84">
      <w:pPr>
        <w:rPr>
          <w:rFonts w:ascii="Times New Roman" w:hAnsi="Times New Roman" w:cs="Times New Roman"/>
          <w:sz w:val="24"/>
          <w:szCs w:val="24"/>
        </w:rPr>
      </w:pPr>
      <w:r w:rsidRPr="00FA3F84">
        <w:rPr>
          <w:rFonts w:ascii="Times New Roman" w:hAnsi="Times New Roman" w:cs="Times New Roman"/>
          <w:sz w:val="24"/>
          <w:szCs w:val="24"/>
        </w:rPr>
        <w:t>Are exhibits or attachments allowable in sections where page requirements are tight?</w:t>
      </w:r>
    </w:p>
    <w:p w14:paraId="1895BACB" w14:textId="3720B173" w:rsidR="0049378F" w:rsidRPr="0049378F" w:rsidRDefault="0049378F" w:rsidP="00FA3F84">
      <w:p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Exhibits and attachments are included in the page limitations. </w:t>
      </w:r>
    </w:p>
    <w:p w14:paraId="38C39EE5" w14:textId="77777777" w:rsidR="00FA3F84" w:rsidRP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39BD2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>Who provides your business services?</w:t>
      </w:r>
    </w:p>
    <w:p w14:paraId="66BEB69C" w14:textId="2A3179AA" w:rsidR="0049378F" w:rsidRPr="0049378F" w:rsidRDefault="0049378F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Business Services are provided in conjunction with NEWDB board staff, One-Stop Operator, and Core Partners. However, the Service Provider is required to conduct regular business contacts with employers with whom we have WEX or OJT participants placed at. </w:t>
      </w:r>
    </w:p>
    <w:p w14:paraId="7477E468" w14:textId="77777777" w:rsidR="00FA3F84" w:rsidRP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6B3FB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>Who is your current OSO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5A47162" w14:textId="473E0F78" w:rsidR="00FA3F84" w:rsidRPr="0049378F" w:rsidRDefault="0049378F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The role of One-Stop Operator is currently being fulfilled by NEWDB. However, the OSO contract is out for procurement currently. </w:t>
      </w:r>
    </w:p>
    <w:p w14:paraId="16E52360" w14:textId="77777777" w:rsidR="0049378F" w:rsidRDefault="0049378F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06C845" w14:textId="1A9372B6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>Who staffs the resource rooms at the 4 career centers?</w:t>
      </w:r>
    </w:p>
    <w:p w14:paraId="7D1CA490" w14:textId="2B7B0FAD" w:rsidR="0049378F" w:rsidRDefault="0049378F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Oklahoma Employment Security Commission staff primarily </w:t>
      </w:r>
      <w:r w:rsidR="00462E16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the resource rooms at the centers utilizing Title III employees. </w:t>
      </w:r>
      <w:r w:rsidR="00462E16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However, Title I service provider staff are occasionally utilized in the support of center partnership. </w:t>
      </w:r>
    </w:p>
    <w:p w14:paraId="67F12B01" w14:textId="77777777" w:rsid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</w:p>
    <w:p w14:paraId="1E963525" w14:textId="2B971EDB" w:rsidR="00462E16" w:rsidRPr="0049378F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Note, as referenced on page 18 of the RFP, NEWDB only operates 3 centers currently, in Miami, Bartlesville, and Pryor.</w:t>
      </w:r>
    </w:p>
    <w:p w14:paraId="4A721319" w14:textId="77777777" w:rsidR="00FA3F84" w:rsidRPr="00B60D4A" w:rsidRDefault="00FA3F84" w:rsidP="00FA3F84">
      <w:pPr>
        <w:rPr>
          <w:rFonts w:ascii="Times New Roman" w:eastAsia="Times New Roman" w:hAnsi="Times New Roman" w:cs="Times New Roman"/>
          <w:color w:val="0F9ED5" w:themeColor="accent4"/>
          <w:sz w:val="24"/>
          <w:szCs w:val="24"/>
        </w:rPr>
      </w:pPr>
    </w:p>
    <w:p w14:paraId="4FE3EA0A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 xml:space="preserve">Could you provide a list of all staff positions by the current operator by each of your 4 </w:t>
      </w:r>
      <w:proofErr w:type="gramStart"/>
      <w:r w:rsidRPr="00FA3F84">
        <w:rPr>
          <w:rFonts w:ascii="Times New Roman" w:eastAsia="Times New Roman" w:hAnsi="Times New Roman" w:cs="Times New Roman"/>
          <w:sz w:val="24"/>
          <w:szCs w:val="24"/>
        </w:rPr>
        <w:t>location</w:t>
      </w:r>
      <w:proofErr w:type="gramEnd"/>
      <w:r w:rsidRPr="00FA3F8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C97621B" w14:textId="0E9A0D1F" w:rsid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As mentioned in the previous answer, there are 3 locations. Our current staffing structure consists of:</w:t>
      </w:r>
    </w:p>
    <w:p w14:paraId="68D1344E" w14:textId="68923B4B" w:rsid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Bartlesville – 1 FTE Case Manager</w:t>
      </w:r>
    </w:p>
    <w:p w14:paraId="1FC15BD1" w14:textId="2012712A" w:rsid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Miami – 1 FTE Case Manager</w:t>
      </w:r>
    </w:p>
    <w:p w14:paraId="5F0C8D0F" w14:textId="37A680C3" w:rsidR="00462E16" w:rsidRP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Pryor – 1 FTE Case Manager</w:t>
      </w:r>
    </w:p>
    <w:p w14:paraId="076D1C65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4835C7" w14:textId="1BB5A217" w:rsidR="004B6AB3" w:rsidRDefault="00C5146A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="004B6AB3">
        <w:rPr>
          <w:rFonts w:ascii="Times New Roman" w:eastAsia="Times New Roman" w:hAnsi="Times New Roman" w:cs="Times New Roman"/>
          <w:sz w:val="24"/>
          <w:szCs w:val="24"/>
        </w:rPr>
        <w:t xml:space="preserve"> only WIOA program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 w:rsidR="004B6AB3">
        <w:rPr>
          <w:rFonts w:ascii="Times New Roman" w:eastAsia="Times New Roman" w:hAnsi="Times New Roman" w:cs="Times New Roman"/>
          <w:sz w:val="24"/>
          <w:szCs w:val="24"/>
        </w:rPr>
        <w:t xml:space="preserve"> offered at the job centers or are additional programs like unemployment</w:t>
      </w:r>
      <w:r>
        <w:rPr>
          <w:rFonts w:ascii="Times New Roman" w:eastAsia="Times New Roman" w:hAnsi="Times New Roman" w:cs="Times New Roman"/>
          <w:sz w:val="24"/>
          <w:szCs w:val="24"/>
        </w:rPr>
        <w:t>, assistance (SNAP, TANF), and Veterans assistance</w:t>
      </w:r>
      <w:r w:rsidR="00526827">
        <w:rPr>
          <w:rFonts w:ascii="Times New Roman" w:eastAsia="Times New Roman" w:hAnsi="Times New Roman" w:cs="Times New Roman"/>
          <w:sz w:val="24"/>
          <w:szCs w:val="24"/>
        </w:rPr>
        <w:t xml:space="preserve"> offered at the sites? If so, how many staff are in each WFC location in addition to WIOA staff?</w:t>
      </w:r>
    </w:p>
    <w:p w14:paraId="5473049C" w14:textId="0483BC39" w:rsid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There are partners collocated at each of the job centers. </w:t>
      </w:r>
      <w:r w:rsid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Co-located partners are as follows:</w:t>
      </w:r>
    </w:p>
    <w:p w14:paraId="376C6040" w14:textId="77777777" w:rsidR="00B00D6E" w:rsidRPr="00B00D6E" w:rsidRDefault="00B00D6E" w:rsidP="00B00D6E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Bartlesville</w:t>
      </w:r>
    </w:p>
    <w:p w14:paraId="53B54759" w14:textId="07E45787" w:rsidR="00B00D6E" w:rsidRPr="00B00D6E" w:rsidRDefault="00B00D6E" w:rsidP="00B00D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5 OESC</w:t>
      </w: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 (WIOA Title III/Wagner-Peyser)</w:t>
      </w:r>
    </w:p>
    <w:p w14:paraId="6C7F01D6" w14:textId="79EE1001" w:rsidR="00B00D6E" w:rsidRPr="00B00D6E" w:rsidRDefault="00B00D6E" w:rsidP="00B00D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WIOA Title I</w:t>
      </w:r>
    </w:p>
    <w:p w14:paraId="5F766D25" w14:textId="4868AD80" w:rsidR="00B00D6E" w:rsidRPr="00B00D6E" w:rsidRDefault="00B00D6E" w:rsidP="00B00D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2 D</w:t>
      </w: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epartment of Rehabilitative Services</w:t>
      </w:r>
    </w:p>
    <w:p w14:paraId="5D460EC3" w14:textId="77777777" w:rsidR="00B00D6E" w:rsidRPr="00B00D6E" w:rsidRDefault="00B00D6E" w:rsidP="00B00D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1 ABE</w:t>
      </w:r>
    </w:p>
    <w:p w14:paraId="63B14560" w14:textId="77777777" w:rsidR="00B00D6E" w:rsidRPr="00B00D6E" w:rsidRDefault="00B00D6E" w:rsidP="00B00D6E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lastRenderedPageBreak/>
        <w:t>Miami</w:t>
      </w:r>
    </w:p>
    <w:p w14:paraId="22BF5B5A" w14:textId="77777777" w:rsidR="00B00D6E" w:rsidRPr="00B00D6E" w:rsidRDefault="00B00D6E" w:rsidP="00B00D6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4 OESC</w:t>
      </w:r>
    </w:p>
    <w:p w14:paraId="22205F9E" w14:textId="15728ABB" w:rsidR="00B00D6E" w:rsidRPr="00B00D6E" w:rsidRDefault="00B00D6E" w:rsidP="00B00D6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WIOA Title I</w:t>
      </w:r>
    </w:p>
    <w:p w14:paraId="4F00F4A8" w14:textId="77777777" w:rsidR="00B00D6E" w:rsidRDefault="00B00D6E" w:rsidP="00B00D6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1 ODVA on Thursdays</w:t>
      </w:r>
    </w:p>
    <w:p w14:paraId="60DDA070" w14:textId="0DB5C154" w:rsidR="00B00D6E" w:rsidRDefault="00B00D6E" w:rsidP="00B00D6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4 DHS</w:t>
      </w:r>
    </w:p>
    <w:p w14:paraId="7C36FD35" w14:textId="163A9C33" w:rsidR="00B00D6E" w:rsidRPr="00B00D6E" w:rsidRDefault="00B00D6E" w:rsidP="00B00D6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4 Service Oklahoma (State DMV)</w:t>
      </w:r>
    </w:p>
    <w:p w14:paraId="72B6BD13" w14:textId="77777777" w:rsidR="00B00D6E" w:rsidRPr="00B00D6E" w:rsidRDefault="00B00D6E" w:rsidP="00B00D6E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Pryor</w:t>
      </w:r>
    </w:p>
    <w:p w14:paraId="67807F41" w14:textId="77777777" w:rsidR="00B00D6E" w:rsidRPr="00B00D6E" w:rsidRDefault="00B00D6E" w:rsidP="00B00D6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5 OESC</w:t>
      </w:r>
    </w:p>
    <w:p w14:paraId="479EDC78" w14:textId="4B108B9F" w:rsidR="00B00D6E" w:rsidRPr="00B00D6E" w:rsidRDefault="00B00D6E" w:rsidP="00B00D6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1 WIOA Title I</w:t>
      </w:r>
    </w:p>
    <w:p w14:paraId="3068F5F1" w14:textId="347CCB19" w:rsidR="00B00D6E" w:rsidRPr="00B00D6E" w:rsidRDefault="00B00D6E" w:rsidP="00B00D6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B00D6E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1 ODVA on Mondays</w:t>
      </w:r>
    </w:p>
    <w:p w14:paraId="125A6A8A" w14:textId="77777777" w:rsidR="00526827" w:rsidRPr="00FA3F84" w:rsidRDefault="00526827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1270C3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 xml:space="preserve">Who does outreach for job seekers?  </w:t>
      </w:r>
    </w:p>
    <w:p w14:paraId="5FD9D758" w14:textId="6480F43F" w:rsidR="00462E16" w:rsidRP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This function is conducted by Service Provider staff, NEWDB Staff, One-Stop Operator, and referrals from partner entities. NEWDB has an online application system, and customers completing the online application are sent to the Service Provider staff for contact. </w:t>
      </w:r>
    </w:p>
    <w:p w14:paraId="7D28A02C" w14:textId="77777777" w:rsidR="00FA3F84" w:rsidRP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95BA96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>Who does quality assurance?</w:t>
      </w:r>
    </w:p>
    <w:p w14:paraId="6E97D996" w14:textId="4D031FA4" w:rsidR="00462E16" w:rsidRPr="00462E16" w:rsidRDefault="00462E16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The contracted service provider is responsible for ensuring the integrity and quality of their participant files. NEWDB also conducts monitoring of each participant that funds are expended on in a given invoice</w:t>
      </w:r>
      <w:r w:rsidR="00BD3180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 to ensure expended funds are allowable. </w:t>
      </w:r>
    </w:p>
    <w:p w14:paraId="62FDB6EE" w14:textId="77777777" w:rsidR="00FA3F84" w:rsidRP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FC511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>Would you please share how many program customers have been enrolled in AD/DW/Youth in the last 2 program years?</w:t>
      </w:r>
    </w:p>
    <w:p w14:paraId="6F3F07C0" w14:textId="072D8BDB" w:rsidR="00BD3180" w:rsidRPr="004B47D4" w:rsidRDefault="004B47D4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4B47D4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In PY 22 NEWDB served – 214 Adults, 47 DLWs, and 77 youth. </w:t>
      </w:r>
    </w:p>
    <w:p w14:paraId="362C229F" w14:textId="15E9DC91" w:rsidR="004B47D4" w:rsidRPr="004B47D4" w:rsidRDefault="004B47D4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4B47D4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In PY 23 NEWDB served – 160 Adults, 17 DLWs and 85 youth. </w:t>
      </w:r>
    </w:p>
    <w:p w14:paraId="1203C694" w14:textId="3C9AD36A" w:rsidR="004B47D4" w:rsidRPr="004B47D4" w:rsidRDefault="004B47D4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 w:rsidRPr="004B47D4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Note: some of these enrollment counts include customers who have been co-enrolled. </w:t>
      </w:r>
    </w:p>
    <w:p w14:paraId="46CA8C62" w14:textId="77777777" w:rsidR="00BD3180" w:rsidRDefault="00BD3180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B86250" w14:textId="4C18069D" w:rsidR="004B47D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>What are current expenditure rates on ITA/Training/WEX?</w:t>
      </w:r>
    </w:p>
    <w:p w14:paraId="79903299" w14:textId="77777777" w:rsidR="000471A4" w:rsidRPr="00C03EBA" w:rsidRDefault="000471A4" w:rsidP="000471A4">
      <w:pPr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03EBA">
        <w:rPr>
          <w:rFonts w:ascii="Times New Roman" w:eastAsia="Times New Roman" w:hAnsi="Times New Roman" w:cs="Times New Roman"/>
          <w:color w:val="0070C0"/>
          <w:sz w:val="24"/>
          <w:szCs w:val="24"/>
        </w:rPr>
        <w:t>Adult 52%</w:t>
      </w:r>
    </w:p>
    <w:p w14:paraId="2BF20CFF" w14:textId="77777777" w:rsidR="000471A4" w:rsidRPr="00C03EBA" w:rsidRDefault="000471A4" w:rsidP="000471A4">
      <w:pPr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03EBA">
        <w:rPr>
          <w:rFonts w:ascii="Times New Roman" w:eastAsia="Times New Roman" w:hAnsi="Times New Roman" w:cs="Times New Roman"/>
          <w:color w:val="0070C0"/>
          <w:sz w:val="24"/>
          <w:szCs w:val="24"/>
        </w:rPr>
        <w:t>DLW 46%</w:t>
      </w:r>
    </w:p>
    <w:p w14:paraId="36D6EE4E" w14:textId="7D0335A6" w:rsidR="000471A4" w:rsidRPr="00C03EBA" w:rsidRDefault="000471A4" w:rsidP="000471A4">
      <w:pPr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03EB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Youth 30% </w:t>
      </w:r>
    </w:p>
    <w:p w14:paraId="6E81075E" w14:textId="77777777" w:rsidR="000471A4" w:rsidRPr="00C03EBA" w:rsidRDefault="000471A4" w:rsidP="000471A4">
      <w:pPr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03EB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OSY 88% </w:t>
      </w:r>
    </w:p>
    <w:p w14:paraId="248BB1C4" w14:textId="6704839A" w:rsidR="000471A4" w:rsidRPr="00C03EBA" w:rsidRDefault="000471A4" w:rsidP="000471A4">
      <w:pPr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C03EBA">
        <w:rPr>
          <w:rFonts w:ascii="Times New Roman" w:eastAsia="Times New Roman" w:hAnsi="Times New Roman" w:cs="Times New Roman"/>
          <w:color w:val="0070C0"/>
          <w:sz w:val="24"/>
          <w:szCs w:val="24"/>
        </w:rPr>
        <w:t>Youth training (Direct=WEX/OJT) 49%</w:t>
      </w:r>
    </w:p>
    <w:p w14:paraId="4D56561C" w14:textId="77777777" w:rsidR="00FA3F84" w:rsidRP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3250FC" w14:textId="77777777" w:rsidR="00FA3F84" w:rsidRDefault="00FA3F84" w:rsidP="00FA3F84">
      <w:pPr>
        <w:rPr>
          <w:rFonts w:ascii="Times New Roman" w:eastAsia="Times New Roman" w:hAnsi="Times New Roman" w:cs="Times New Roman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sz w:val="24"/>
          <w:szCs w:val="24"/>
        </w:rPr>
        <w:t>Would you please share your Board policy on ITA/WEX--$ limits on training, WEX hours?</w:t>
      </w:r>
    </w:p>
    <w:p w14:paraId="781E0C8E" w14:textId="2EF94F0C" w:rsidR="004B47D4" w:rsidRPr="004B47D4" w:rsidRDefault="004B47D4" w:rsidP="00FA3F84">
      <w:pP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All current NEWDB’s policies can be found on our website, include our ITA and WEX policy. Reference here: </w:t>
      </w:r>
      <w:hyperlink r:id="rId12" w:history="1">
        <w:r>
          <w:rPr>
            <w:rStyle w:val="Hyperlink"/>
          </w:rPr>
          <w:t>Policies – Northeast Workforce Development Board (northeastworkforceboard.com)</w:t>
        </w:r>
      </w:hyperlink>
    </w:p>
    <w:p w14:paraId="24EB7E50" w14:textId="77777777" w:rsidR="00C03EBA" w:rsidRDefault="00C03EBA" w:rsidP="00FA3F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5154BC" w14:textId="77777777" w:rsidR="00B57907" w:rsidRDefault="00B57907" w:rsidP="00FA3F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C45C7" w14:textId="77777777" w:rsidR="00C03EBA" w:rsidRDefault="00C03EBA" w:rsidP="00FA3F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DD416" w14:textId="2EF5C0A0" w:rsidR="004B47D4" w:rsidRDefault="00FA3F84" w:rsidP="00FA3F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F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Could you provide the current program performance?  </w:t>
      </w:r>
    </w:p>
    <w:p w14:paraId="7598D4FF" w14:textId="3302366F" w:rsidR="004B47D4" w:rsidRPr="004B47D4" w:rsidRDefault="004B47D4" w:rsidP="00FA3F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The table below represents NEWDB’s </w:t>
      </w:r>
      <w:r w:rsidR="00343F64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Annual performance reports as of July reports. However</w:t>
      </w:r>
      <w:r w:rsidR="000A1A91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>,</w:t>
      </w:r>
      <w:r w:rsidR="00343F64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</w:rPr>
        <w:t xml:space="preserve"> these performance results are not yet finalized. </w:t>
      </w:r>
    </w:p>
    <w:tbl>
      <w:tblPr>
        <w:tblW w:w="3690" w:type="dxa"/>
        <w:tblLook w:val="04A0" w:firstRow="1" w:lastRow="0" w:firstColumn="1" w:lastColumn="0" w:noHBand="0" w:noVBand="1"/>
      </w:tblPr>
      <w:tblGrid>
        <w:gridCol w:w="1620"/>
        <w:gridCol w:w="2070"/>
      </w:tblGrid>
      <w:tr w:rsidR="004B47D4" w:rsidRPr="004B47D4" w14:paraId="2C370AD8" w14:textId="77777777" w:rsidTr="004B47D4">
        <w:trPr>
          <w:trHeight w:val="22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16C68" w14:textId="77777777" w:rsidR="004B47D4" w:rsidRPr="004B47D4" w:rsidRDefault="004B47D4" w:rsidP="004B47D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B47D4">
              <w:rPr>
                <w:rFonts w:eastAsia="Times New Roman"/>
                <w:color w:val="000000"/>
                <w:sz w:val="16"/>
                <w:szCs w:val="16"/>
              </w:rPr>
              <w:t>NEWDB Current Goal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8955E" w14:textId="77777777" w:rsidR="004B47D4" w:rsidRPr="004B47D4" w:rsidRDefault="004B47D4" w:rsidP="004B47D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4B47D4">
              <w:rPr>
                <w:rFonts w:eastAsia="Times New Roman"/>
                <w:color w:val="000000"/>
                <w:sz w:val="16"/>
                <w:szCs w:val="16"/>
              </w:rPr>
              <w:t>NEWDB PY 23 Performance</w:t>
            </w:r>
          </w:p>
        </w:tc>
      </w:tr>
      <w:tr w:rsidR="004B47D4" w:rsidRPr="004B47D4" w14:paraId="069B87EB" w14:textId="77777777" w:rsidTr="004B47D4">
        <w:trPr>
          <w:trHeight w:val="238"/>
        </w:trPr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7D630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72.00%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17B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76.32%</w:t>
            </w:r>
          </w:p>
        </w:tc>
      </w:tr>
      <w:tr w:rsidR="004B47D4" w:rsidRPr="004B47D4" w14:paraId="1A598812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9FC25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70.00%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CCA4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74.71%</w:t>
            </w:r>
          </w:p>
        </w:tc>
      </w:tr>
      <w:tr w:rsidR="004B47D4" w:rsidRPr="004B47D4" w14:paraId="591BDF1D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5E1DE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 xml:space="preserve">$5,750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FEDA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$7,117</w:t>
            </w:r>
          </w:p>
        </w:tc>
      </w:tr>
      <w:tr w:rsidR="004B47D4" w:rsidRPr="004B47D4" w14:paraId="70EC9B01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B475C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72.50%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5682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82.22%</w:t>
            </w:r>
          </w:p>
        </w:tc>
      </w:tr>
      <w:tr w:rsidR="004B47D4" w:rsidRPr="004B47D4" w14:paraId="2C96E230" w14:textId="77777777" w:rsidTr="004B47D4">
        <w:trPr>
          <w:trHeight w:val="2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37737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65.00%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4A93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84.06%</w:t>
            </w:r>
          </w:p>
        </w:tc>
      </w:tr>
      <w:tr w:rsidR="004B47D4" w:rsidRPr="004B47D4" w14:paraId="23DEDF8E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01DC9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75.00%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7365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73.53%</w:t>
            </w:r>
          </w:p>
        </w:tc>
      </w:tr>
      <w:tr w:rsidR="004B47D4" w:rsidRPr="004B47D4" w14:paraId="5B24E2FB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319C9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69.50%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DA3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69.57%</w:t>
            </w:r>
          </w:p>
        </w:tc>
      </w:tr>
      <w:tr w:rsidR="004B47D4" w:rsidRPr="004B47D4" w14:paraId="39D19D33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9CF0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 xml:space="preserve">$8,200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049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$10,776</w:t>
            </w:r>
          </w:p>
        </w:tc>
      </w:tr>
      <w:tr w:rsidR="004B47D4" w:rsidRPr="004B47D4" w14:paraId="464E2DAF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890F5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75.00%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244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85.71%</w:t>
            </w:r>
          </w:p>
        </w:tc>
      </w:tr>
      <w:tr w:rsidR="004B47D4" w:rsidRPr="004B47D4" w14:paraId="772FC30D" w14:textId="77777777" w:rsidTr="004B47D4">
        <w:trPr>
          <w:trHeight w:val="2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B6A64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70.50%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53AC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88.89%</w:t>
            </w:r>
          </w:p>
        </w:tc>
      </w:tr>
      <w:tr w:rsidR="004B47D4" w:rsidRPr="004B47D4" w14:paraId="6F42FC9B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AB431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74.00%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C059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87.10%</w:t>
            </w:r>
          </w:p>
        </w:tc>
      </w:tr>
      <w:tr w:rsidR="004B47D4" w:rsidRPr="004B47D4" w14:paraId="642797F4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1C443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71.00%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2538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92.31%</w:t>
            </w:r>
          </w:p>
        </w:tc>
      </w:tr>
      <w:tr w:rsidR="004B47D4" w:rsidRPr="004B47D4" w14:paraId="652440A9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D57D6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 xml:space="preserve">$3,900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91AB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$6,495</w:t>
            </w:r>
          </w:p>
        </w:tc>
      </w:tr>
      <w:tr w:rsidR="004B47D4" w:rsidRPr="004B47D4" w14:paraId="1E53A3F5" w14:textId="77777777" w:rsidTr="004B47D4">
        <w:trPr>
          <w:trHeight w:val="2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170AE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71.00%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286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77.78%</w:t>
            </w:r>
          </w:p>
        </w:tc>
      </w:tr>
      <w:tr w:rsidR="004B47D4" w:rsidRPr="004B47D4" w14:paraId="1A9E2B40" w14:textId="77777777" w:rsidTr="004B47D4">
        <w:trPr>
          <w:trHeight w:val="2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5A71A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59.50%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853A7" w14:textId="77777777" w:rsidR="004B47D4" w:rsidRPr="004B47D4" w:rsidRDefault="004B47D4" w:rsidP="004B47D4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4B47D4">
              <w:rPr>
                <w:rFonts w:eastAsia="Times New Roman"/>
                <w:sz w:val="20"/>
                <w:szCs w:val="20"/>
              </w:rPr>
              <w:t>60.87%</w:t>
            </w:r>
          </w:p>
        </w:tc>
      </w:tr>
    </w:tbl>
    <w:p w14:paraId="17A3B431" w14:textId="77777777" w:rsidR="00C03EBA" w:rsidRDefault="00C03EBA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EBF70" w14:textId="0A2DBC76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many active participants are enrolled in each funding stream?  </w:t>
      </w:r>
    </w:p>
    <w:p w14:paraId="4973C6ED" w14:textId="79D48A67" w:rsidR="00343F64" w:rsidRPr="00343F64" w:rsidRDefault="00343F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The table below </w:t>
      </w:r>
      <w:r w:rsidR="00C03EBA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represents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the answer to this and the next question. Note: some customers are co-enrolled and will show in more than one category. </w:t>
      </w:r>
    </w:p>
    <w:tbl>
      <w:tblPr>
        <w:tblW w:w="3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60"/>
        <w:gridCol w:w="960"/>
      </w:tblGrid>
      <w:tr w:rsidR="003F22F1" w:rsidRPr="003F22F1" w14:paraId="47DD09CC" w14:textId="77777777" w:rsidTr="003F22F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79F81D" w14:textId="77777777" w:rsidR="003F22F1" w:rsidRPr="003F22F1" w:rsidRDefault="003F22F1" w:rsidP="003F2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3071B6" w14:textId="77777777" w:rsidR="003F22F1" w:rsidRPr="003F22F1" w:rsidRDefault="003F22F1" w:rsidP="003F22F1">
            <w:pPr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Open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8732A6" w14:textId="77777777" w:rsidR="003F22F1" w:rsidRPr="003F22F1" w:rsidRDefault="003F22F1" w:rsidP="003F22F1">
            <w:pPr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Follow-Up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EFAED" w14:textId="77777777" w:rsidR="003F22F1" w:rsidRPr="003F22F1" w:rsidRDefault="003F22F1" w:rsidP="003F22F1">
            <w:pPr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Total</w:t>
            </w:r>
          </w:p>
        </w:tc>
      </w:tr>
      <w:tr w:rsidR="003F22F1" w:rsidRPr="003F22F1" w14:paraId="66228ED0" w14:textId="77777777" w:rsidTr="003F22F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CDBDB1" w14:textId="77777777" w:rsidR="003F22F1" w:rsidRPr="003F22F1" w:rsidRDefault="003F22F1" w:rsidP="003F22F1">
            <w:pPr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Adult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2D5F7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073414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65CAD2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159</w:t>
            </w:r>
          </w:p>
        </w:tc>
      </w:tr>
      <w:tr w:rsidR="003F22F1" w:rsidRPr="003F22F1" w14:paraId="6044CC25" w14:textId="77777777" w:rsidTr="003F22F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DA810" w14:textId="77777777" w:rsidR="003F22F1" w:rsidRPr="003F22F1" w:rsidRDefault="003F22F1" w:rsidP="003F22F1">
            <w:pPr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 xml:space="preserve">DLW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B55A3C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538345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DFAEE1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11</w:t>
            </w:r>
          </w:p>
        </w:tc>
      </w:tr>
      <w:tr w:rsidR="003F22F1" w:rsidRPr="003F22F1" w14:paraId="7A8F5A4F" w14:textId="77777777" w:rsidTr="003F22F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58A28C" w14:textId="77777777" w:rsidR="003F22F1" w:rsidRPr="003F22F1" w:rsidRDefault="003F22F1" w:rsidP="003F22F1">
            <w:pPr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Youth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60BF68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9BDDDC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9B1C0A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58</w:t>
            </w:r>
          </w:p>
        </w:tc>
      </w:tr>
      <w:tr w:rsidR="003F22F1" w:rsidRPr="003F22F1" w14:paraId="4BFF7852" w14:textId="77777777" w:rsidTr="003F22F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88F1E" w14:textId="77777777" w:rsidR="003F22F1" w:rsidRPr="003F22F1" w:rsidRDefault="003F22F1" w:rsidP="003F22F1">
            <w:pPr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E76D01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103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E4DA9EA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7C34BA" w14:textId="77777777" w:rsidR="003F22F1" w:rsidRPr="003F22F1" w:rsidRDefault="003F22F1" w:rsidP="003F22F1">
            <w:pPr>
              <w:jc w:val="right"/>
              <w:rPr>
                <w:rFonts w:eastAsia="Times New Roman"/>
                <w:color w:val="000000"/>
              </w:rPr>
            </w:pPr>
            <w:r w:rsidRPr="003F22F1">
              <w:rPr>
                <w:rFonts w:eastAsia="Times New Roman"/>
                <w:color w:val="000000"/>
              </w:rPr>
              <w:t>228</w:t>
            </w:r>
          </w:p>
        </w:tc>
      </w:tr>
    </w:tbl>
    <w:p w14:paraId="12058EC8" w14:textId="77777777" w:rsidR="00526827" w:rsidRDefault="00526827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03705C" w14:textId="22181C62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many participants are in follow-up?  </w:t>
      </w:r>
    </w:p>
    <w:p w14:paraId="529FC541" w14:textId="58A6C8B2" w:rsidR="00343F64" w:rsidRPr="003F22F1" w:rsidRDefault="003F22F1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Reference the table in the previous question.</w:t>
      </w:r>
    </w:p>
    <w:p w14:paraId="2338BBFA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901D7E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many participants were enrolled in an OJT?  </w:t>
      </w:r>
    </w:p>
    <w:p w14:paraId="01A60005" w14:textId="4B00A3BC" w:rsidR="00526827" w:rsidRPr="003F0D61" w:rsidRDefault="003F0D61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8 participants received OJT services in PY 23.</w:t>
      </w:r>
    </w:p>
    <w:p w14:paraId="4A8DA173" w14:textId="77777777" w:rsidR="003F22F1" w:rsidRDefault="003F22F1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84309" w14:textId="7A434474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much was spent on OJT last year? </w:t>
      </w:r>
    </w:p>
    <w:p w14:paraId="05E0F953" w14:textId="001DB45A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Adult: $25,196.41</w:t>
      </w:r>
    </w:p>
    <w:p w14:paraId="22C99EA0" w14:textId="26663F3F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DLW: $23,451.27</w:t>
      </w:r>
    </w:p>
    <w:p w14:paraId="0319FAEE" w14:textId="64DF141A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OSY: $376.33</w:t>
      </w:r>
    </w:p>
    <w:p w14:paraId="0C7E36D6" w14:textId="77777777" w:rsidR="003F0D61" w:rsidRDefault="003F0D61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0AF6D" w14:textId="585B6641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many participants were enrolled in a WEX?  </w:t>
      </w:r>
    </w:p>
    <w:p w14:paraId="50B35CFF" w14:textId="1990AC96" w:rsidR="00526827" w:rsidRPr="003F0D61" w:rsidRDefault="003F0D61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27 </w:t>
      </w:r>
      <w:r w:rsidR="00C03EBA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customers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received WEX services in PY 23. </w:t>
      </w:r>
    </w:p>
    <w:p w14:paraId="2916A584" w14:textId="41D98440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much was spent on WEX last year? </w:t>
      </w:r>
    </w:p>
    <w:p w14:paraId="6C7A1511" w14:textId="50E5DB7A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Adult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$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44,093.63</w:t>
      </w:r>
    </w:p>
    <w:p w14:paraId="22872D3B" w14:textId="13341A69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lastRenderedPageBreak/>
        <w:t>DLW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$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26,309.27</w:t>
      </w:r>
    </w:p>
    <w:p w14:paraId="36DEF43F" w14:textId="582B60F9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OSY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$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70,581.58</w:t>
      </w:r>
    </w:p>
    <w:p w14:paraId="7DC53ABD" w14:textId="5E8A2B14" w:rsidR="00526827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ISY: $8,161.61</w:t>
      </w:r>
    </w:p>
    <w:p w14:paraId="45BF5D63" w14:textId="77777777" w:rsidR="000471A4" w:rsidRDefault="000471A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88647" w14:textId="0C0382FF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What were the supportive services costs for the program year? </w:t>
      </w:r>
    </w:p>
    <w:p w14:paraId="67FA26B3" w14:textId="6369232C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Adult 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$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8,263.53</w:t>
      </w:r>
    </w:p>
    <w:p w14:paraId="02AB9013" w14:textId="2A416FFB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DLW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$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937.76</w:t>
      </w:r>
    </w:p>
    <w:p w14:paraId="0AC2E3BA" w14:textId="7BFB07D1" w:rsidR="000471A4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OSY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$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6,192.64</w:t>
      </w:r>
    </w:p>
    <w:p w14:paraId="24B62DBF" w14:textId="4447103E" w:rsidR="003F0D61" w:rsidRPr="000471A4" w:rsidRDefault="000471A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ISY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 $</w:t>
      </w:r>
      <w:r w:rsidRPr="000471A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995.00</w:t>
      </w:r>
    </w:p>
    <w:p w14:paraId="26758586" w14:textId="77777777" w:rsidR="000471A4" w:rsidRPr="00526827" w:rsidRDefault="000471A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35F1A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many participants were enrolled in an OJT?  </w:t>
      </w:r>
    </w:p>
    <w:p w14:paraId="6873BF26" w14:textId="77777777" w:rsidR="003F0D61" w:rsidRPr="003F0D61" w:rsidRDefault="003F0D61" w:rsidP="003F0D61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8 participants received OJT services in PY 23.</w:t>
      </w:r>
    </w:p>
    <w:p w14:paraId="74EAA2C8" w14:textId="77777777" w:rsidR="003F0D61" w:rsidRDefault="003F0D61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EBE139" w14:textId="126B5727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What was the average salary?  </w:t>
      </w:r>
    </w:p>
    <w:p w14:paraId="1E95FDAE" w14:textId="59E1365E" w:rsidR="00BD3180" w:rsidRPr="00BE5264" w:rsidRDefault="00BE52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The average OJT salary was $14.66 in PY 23.</w:t>
      </w:r>
    </w:p>
    <w:p w14:paraId="2F3EBE5D" w14:textId="77777777" w:rsidR="003F0D61" w:rsidRPr="00526827" w:rsidRDefault="003F0D61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8A942" w14:textId="29187A40" w:rsidR="000471A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much was spent on OJT last year? </w:t>
      </w:r>
    </w:p>
    <w:p w14:paraId="21E58AF0" w14:textId="79594FFE" w:rsidR="000471A4" w:rsidRPr="000471A4" w:rsidRDefault="000471A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See above</w:t>
      </w:r>
    </w:p>
    <w:p w14:paraId="40537A1C" w14:textId="77777777" w:rsidR="000471A4" w:rsidRPr="000471A4" w:rsidRDefault="000471A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670AB" w14:textId="375D95BC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many participants were enrolled in a WEX?  </w:t>
      </w:r>
    </w:p>
    <w:p w14:paraId="0593FFF9" w14:textId="3908712C" w:rsidR="00BE5264" w:rsidRPr="00BE5264" w:rsidRDefault="00BE52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27 customers received WEX services in PY 23.</w:t>
      </w:r>
    </w:p>
    <w:p w14:paraId="66929B2B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79D29" w14:textId="77777777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What was the average salary?  </w:t>
      </w:r>
    </w:p>
    <w:p w14:paraId="14970F8B" w14:textId="6A817859" w:rsidR="00BE5264" w:rsidRPr="00057B70" w:rsidRDefault="00057B70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WEX salaries typically ranged between $10-$15/hr.</w:t>
      </w:r>
    </w:p>
    <w:p w14:paraId="2C2B099C" w14:textId="77777777" w:rsidR="00526827" w:rsidRDefault="00526827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A0355" w14:textId="50EFE173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much was spent on WEX last year? </w:t>
      </w:r>
    </w:p>
    <w:p w14:paraId="13C1BD03" w14:textId="2848F224" w:rsidR="00057B70" w:rsidRPr="00057B70" w:rsidRDefault="00057B70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See above.</w:t>
      </w:r>
    </w:p>
    <w:p w14:paraId="3A8CC95C" w14:textId="59C0C19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159168" w14:textId="77777777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 xml:space="preserve">Do the staff cover more than one center? If so, what is the staffing pattern? </w:t>
      </w:r>
    </w:p>
    <w:p w14:paraId="70F27C94" w14:textId="776C23C8" w:rsidR="00BE5264" w:rsidRPr="00BE5264" w:rsidRDefault="00BE52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Currently, the three case managers do not cover more than one center unless a filling in for a staff member that is out. </w:t>
      </w:r>
    </w:p>
    <w:p w14:paraId="5127F7D4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B4F12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What are the current staffing salary range by position?   </w:t>
      </w:r>
    </w:p>
    <w:p w14:paraId="783CCF85" w14:textId="4A3AAE96" w:rsidR="00BE5264" w:rsidRPr="00BE5264" w:rsidRDefault="00BE5264" w:rsidP="000471A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The salary range is set by the service provider based on the available budget. </w:t>
      </w:r>
    </w:p>
    <w:p w14:paraId="0D89E870" w14:textId="22472299" w:rsidR="00BE5264" w:rsidRDefault="000471A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Case Managers earn $18-$19/hr.</w:t>
      </w:r>
    </w:p>
    <w:p w14:paraId="0F610307" w14:textId="53EDA66D" w:rsidR="000471A4" w:rsidRDefault="000471A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NEWDB’s service provider also provides pieces of the following support staff:</w:t>
      </w:r>
    </w:p>
    <w:p w14:paraId="00241D57" w14:textId="50E02BFE" w:rsidR="000471A4" w:rsidRDefault="000471A4" w:rsidP="00057B70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</w:p>
    <w:tbl>
      <w:tblPr>
        <w:tblW w:w="4640" w:type="dxa"/>
        <w:tblLook w:val="04A0" w:firstRow="1" w:lastRow="0" w:firstColumn="1" w:lastColumn="0" w:noHBand="0" w:noVBand="1"/>
      </w:tblPr>
      <w:tblGrid>
        <w:gridCol w:w="3580"/>
        <w:gridCol w:w="1060"/>
      </w:tblGrid>
      <w:tr w:rsidR="00057B70" w:rsidRPr="00057B70" w14:paraId="12527D53" w14:textId="77777777" w:rsidTr="00057B70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D9CF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Operations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AF64" w14:textId="0A75188B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% FTE</w:t>
            </w:r>
          </w:p>
        </w:tc>
      </w:tr>
      <w:tr w:rsidR="00057B70" w:rsidRPr="00057B70" w14:paraId="2C64640B" w14:textId="77777777" w:rsidTr="00057B70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3E4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QPT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4B4" w14:textId="5C62593C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25%</w:t>
            </w:r>
          </w:p>
        </w:tc>
      </w:tr>
      <w:tr w:rsidR="00057B70" w:rsidRPr="00057B70" w14:paraId="75E39A6C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DFE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Project Accountant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481" w14:textId="54E3409C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15%</w:t>
            </w:r>
          </w:p>
        </w:tc>
      </w:tr>
      <w:tr w:rsidR="00057B70" w:rsidRPr="00057B70" w14:paraId="1508972A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EF7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Account Tech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BC7" w14:textId="068ECC67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15%</w:t>
            </w:r>
          </w:p>
        </w:tc>
      </w:tr>
      <w:tr w:rsidR="00057B70" w:rsidRPr="00057B70" w14:paraId="6D140661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0CE7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Project Accountant Lead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171" w14:textId="40A6E615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3%</w:t>
            </w:r>
          </w:p>
        </w:tc>
      </w:tr>
      <w:tr w:rsidR="00057B70" w:rsidRPr="00057B70" w14:paraId="38E5CEF4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845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WE PR Specialist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7198" w14:textId="69969B11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3%</w:t>
            </w:r>
          </w:p>
        </w:tc>
      </w:tr>
      <w:tr w:rsidR="00057B70" w:rsidRPr="00057B70" w14:paraId="116CB6B1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2E7F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Corporate HR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9F65" w14:textId="16514E7E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3%</w:t>
            </w:r>
          </w:p>
        </w:tc>
      </w:tr>
      <w:tr w:rsidR="00057B70" w:rsidRPr="00057B70" w14:paraId="5ADA4154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6557" w14:textId="0461FEFB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Corporate</w:t>
            </w:r>
            <w:r w:rsidRPr="00057B70">
              <w:rPr>
                <w:rFonts w:ascii="Aptos Narrow" w:eastAsia="Times New Roman" w:hAnsi="Aptos Narrow" w:cs="Times New Roman"/>
                <w:color w:val="000000"/>
              </w:rPr>
              <w:t xml:space="preserve"> DLC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8790" w14:textId="71719267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3%</w:t>
            </w:r>
          </w:p>
        </w:tc>
      </w:tr>
      <w:tr w:rsidR="00057B70" w:rsidRPr="00057B70" w14:paraId="6127AA4D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F31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lastRenderedPageBreak/>
              <w:t>Corporate QPT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EF4" w14:textId="3D9F61D1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3%</w:t>
            </w:r>
          </w:p>
        </w:tc>
      </w:tr>
      <w:tr w:rsidR="00057B70" w:rsidRPr="00057B70" w14:paraId="21E9566B" w14:textId="77777777" w:rsidTr="00057B7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3DA3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Project Director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851B" w14:textId="3F48E0FA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15%</w:t>
            </w:r>
          </w:p>
        </w:tc>
      </w:tr>
      <w:tr w:rsidR="00057B70" w:rsidRPr="00057B70" w14:paraId="69EA3CB4" w14:textId="77777777" w:rsidTr="00057B70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1938" w14:textId="77777777" w:rsidR="00057B70" w:rsidRPr="00057B70" w:rsidRDefault="00057B70" w:rsidP="00057B70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057B70">
              <w:rPr>
                <w:rFonts w:ascii="Aptos Narrow" w:eastAsia="Times New Roman" w:hAnsi="Aptos Narrow" w:cs="Times New Roman"/>
                <w:color w:val="000000"/>
              </w:rPr>
              <w:t>Regional Director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4B9" w14:textId="0A6E363F" w:rsidR="00057B70" w:rsidRPr="00057B70" w:rsidRDefault="00057B70" w:rsidP="00057B70">
            <w:pPr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3%</w:t>
            </w:r>
          </w:p>
        </w:tc>
      </w:tr>
    </w:tbl>
    <w:p w14:paraId="4D569532" w14:textId="77777777" w:rsidR="00057B70" w:rsidRPr="000471A4" w:rsidRDefault="00057B70" w:rsidP="00057B70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</w:p>
    <w:p w14:paraId="600E54B6" w14:textId="77777777" w:rsidR="000471A4" w:rsidRPr="00526827" w:rsidRDefault="000471A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3F5639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Can you provide the resumes for the current staff? </w:t>
      </w:r>
    </w:p>
    <w:p w14:paraId="38761D62" w14:textId="12EED260" w:rsidR="00526827" w:rsidRPr="003A4D14" w:rsidRDefault="003A4D1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NEWDB does not have resumes for current Service Provider staff.</w:t>
      </w:r>
    </w:p>
    <w:p w14:paraId="61E03A84" w14:textId="77777777" w:rsidR="003A4D14" w:rsidRDefault="003A4D1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0CC44" w14:textId="33F0D05C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Do we need to budget for facilities costs at the One-Stop Job Center? If so, is there an estimate of operational costs and what expenses are included? </w:t>
      </w:r>
    </w:p>
    <w:p w14:paraId="5990A286" w14:textId="5F7DB3B6" w:rsidR="003A4D14" w:rsidRPr="003A4D14" w:rsidRDefault="003A4D1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These costs are paid for by NEWDB. </w:t>
      </w:r>
    </w:p>
    <w:p w14:paraId="1F8BF5EE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6630E" w14:textId="77777777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Will you provide the Budget in an Excel document? </w:t>
      </w:r>
    </w:p>
    <w:p w14:paraId="1E8EB4FA" w14:textId="4AABA68F" w:rsidR="00343F64" w:rsidRDefault="00343F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The table on page 28 of the RFP represents expected dollar amounts for the contract based on planning numbers. </w:t>
      </w:r>
      <w:r w:rsidR="00C03EBA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However,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these dollar amounts may vary dependent on the following factors:</w:t>
      </w:r>
    </w:p>
    <w:p w14:paraId="43203945" w14:textId="2855D9AE" w:rsidR="00343F64" w:rsidRDefault="00343F64" w:rsidP="00343F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The amount of client dollars spent in PY 24 Q1</w:t>
      </w:r>
    </w:p>
    <w:p w14:paraId="3122F3BC" w14:textId="51333521" w:rsidR="00343F64" w:rsidRDefault="00343F64" w:rsidP="00343F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The amount of actual award and actual carryover provided to NEWDB for PY 24 (note, the RFP was built based on planning numbers and expected carry over).</w:t>
      </w:r>
    </w:p>
    <w:p w14:paraId="20DB861F" w14:textId="6B85A217" w:rsidR="00343F64" w:rsidRPr="00343F64" w:rsidRDefault="00343F64" w:rsidP="00343F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The award amount for PY 25.</w:t>
      </w:r>
    </w:p>
    <w:p w14:paraId="34277B68" w14:textId="77777777" w:rsidR="00526827" w:rsidRDefault="00526827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DD171" w14:textId="265208C7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How long has the current provider been working in the Northeast region? </w:t>
      </w:r>
    </w:p>
    <w:p w14:paraId="2F7CAE4B" w14:textId="4C064937" w:rsidR="00343F64" w:rsidRPr="00343F64" w:rsidRDefault="00343F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Dynamic Workforce Solutions has been the provider for just over 3-years. </w:t>
      </w:r>
    </w:p>
    <w:p w14:paraId="79F2790B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4D81C" w14:textId="6D10B58B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Will there be an interview/oral presentation? </w:t>
      </w:r>
      <w:r w:rsidRPr="00526827">
        <w:rPr>
          <w:rFonts w:ascii="Times New Roman" w:hAnsi="Times New Roman" w:cs="Times New Roman"/>
          <w:sz w:val="24"/>
          <w:szCs w:val="24"/>
        </w:rPr>
        <w:tab/>
      </w:r>
    </w:p>
    <w:p w14:paraId="39E4BA43" w14:textId="0D455D8F" w:rsidR="00FA3F84" w:rsidRPr="00343F64" w:rsidRDefault="00343F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>This is not planned currently.</w:t>
      </w:r>
    </w:p>
    <w:p w14:paraId="5CE64F0C" w14:textId="77777777" w:rsidR="00343F64" w:rsidRPr="00526827" w:rsidRDefault="00343F6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A7E20" w14:textId="77777777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>Are your customer files electronic or paper/hard copy? </w:t>
      </w:r>
    </w:p>
    <w:p w14:paraId="0E7C2743" w14:textId="7390EF69" w:rsidR="00343F64" w:rsidRPr="00343F64" w:rsidRDefault="00343F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All participant files are electronic and kept utilizing the state’s case management system. </w:t>
      </w:r>
    </w:p>
    <w:p w14:paraId="6F852566" w14:textId="77777777" w:rsidR="00FA3F84" w:rsidRPr="00526827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8B011" w14:textId="497CFABB" w:rsidR="00FA3F84" w:rsidRDefault="00FA3F84" w:rsidP="00FA3F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6827">
        <w:rPr>
          <w:rFonts w:ascii="Times New Roman" w:hAnsi="Times New Roman" w:cs="Times New Roman"/>
          <w:sz w:val="24"/>
          <w:szCs w:val="24"/>
        </w:rPr>
        <w:t xml:space="preserve">What data management system is used? </w:t>
      </w:r>
    </w:p>
    <w:p w14:paraId="44A312AC" w14:textId="005CD337" w:rsidR="00343F64" w:rsidRPr="00343F64" w:rsidRDefault="00343F64" w:rsidP="00FA3F84">
      <w:pPr>
        <w:pStyle w:val="NoSpacing"/>
        <w:rPr>
          <w:rFonts w:ascii="Times New Roman" w:hAnsi="Times New Roman" w:cs="Times New Roman"/>
          <w:color w:val="215E99" w:themeColor="text2" w:themeTint="BF"/>
          <w:sz w:val="24"/>
          <w:szCs w:val="24"/>
        </w:rPr>
      </w:pP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Currently, Oklahoma Job Match is the state’s CRM system. </w:t>
      </w:r>
      <w:r w:rsidR="00C03EBA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However,</w:t>
      </w:r>
      <w:r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the state is rolling out a new case management system that is expected to be in place in August 2024. </w:t>
      </w:r>
    </w:p>
    <w:p w14:paraId="5BAE3D34" w14:textId="77777777" w:rsidR="00FA3F84" w:rsidRPr="00526827" w:rsidRDefault="00FA3F84" w:rsidP="00FA3F84"/>
    <w:sectPr w:rsidR="00FA3F84" w:rsidRPr="00526827" w:rsidSect="00FA3F8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C40D9" w14:textId="77777777" w:rsidR="00041030" w:rsidRDefault="00041030" w:rsidP="00FA3F84">
      <w:r>
        <w:separator/>
      </w:r>
    </w:p>
  </w:endnote>
  <w:endnote w:type="continuationSeparator" w:id="0">
    <w:p w14:paraId="59C9D8DA" w14:textId="77777777" w:rsidR="00041030" w:rsidRDefault="00041030" w:rsidP="00FA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8D98D" w14:textId="62E84527" w:rsidR="00526827" w:rsidRDefault="00526827" w:rsidP="006B0AE1">
    <w:pPr>
      <w:pStyle w:val="Footer"/>
      <w:jc w:val="center"/>
    </w:pPr>
    <w:bookmarkStart w:id="0" w:name="_Hlk511980211"/>
    <w:bookmarkStart w:id="1" w:name="_Hlk528916615"/>
  </w:p>
  <w:p w14:paraId="31FEB640" w14:textId="03B1D2F9" w:rsidR="00526827" w:rsidRDefault="00526827" w:rsidP="006B0AE1">
    <w:pPr>
      <w:pStyle w:val="Footer"/>
      <w:jc w:val="center"/>
    </w:pPr>
    <w:r>
      <w:t xml:space="preserve"> </w: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7D61C" w14:textId="77777777" w:rsidR="00041030" w:rsidRDefault="00041030" w:rsidP="00FA3F84">
      <w:r>
        <w:separator/>
      </w:r>
    </w:p>
  </w:footnote>
  <w:footnote w:type="continuationSeparator" w:id="0">
    <w:p w14:paraId="189FEB38" w14:textId="77777777" w:rsidR="00041030" w:rsidRDefault="00041030" w:rsidP="00FA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716B"/>
    <w:multiLevelType w:val="hybridMultilevel"/>
    <w:tmpl w:val="B4A8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081"/>
    <w:multiLevelType w:val="hybridMultilevel"/>
    <w:tmpl w:val="10A6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003F"/>
    <w:multiLevelType w:val="hybridMultilevel"/>
    <w:tmpl w:val="CDEA39AA"/>
    <w:lvl w:ilvl="0" w:tplc="7CF40846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214B"/>
    <w:multiLevelType w:val="hybridMultilevel"/>
    <w:tmpl w:val="F284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16294">
    <w:abstractNumId w:val="2"/>
  </w:num>
  <w:num w:numId="2" w16cid:durableId="531386477">
    <w:abstractNumId w:val="3"/>
  </w:num>
  <w:num w:numId="3" w16cid:durableId="1276402317">
    <w:abstractNumId w:val="1"/>
  </w:num>
  <w:num w:numId="4" w16cid:durableId="175998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47"/>
    <w:rsid w:val="00016047"/>
    <w:rsid w:val="00041030"/>
    <w:rsid w:val="000471A4"/>
    <w:rsid w:val="00057B70"/>
    <w:rsid w:val="000A1A91"/>
    <w:rsid w:val="002C3A7A"/>
    <w:rsid w:val="00343F64"/>
    <w:rsid w:val="003A4D14"/>
    <w:rsid w:val="003F0D61"/>
    <w:rsid w:val="003F22F1"/>
    <w:rsid w:val="00462E16"/>
    <w:rsid w:val="0049378F"/>
    <w:rsid w:val="004B0862"/>
    <w:rsid w:val="004B47D4"/>
    <w:rsid w:val="004B6AB3"/>
    <w:rsid w:val="00504B6B"/>
    <w:rsid w:val="00506322"/>
    <w:rsid w:val="00526827"/>
    <w:rsid w:val="00530A6C"/>
    <w:rsid w:val="00573AD5"/>
    <w:rsid w:val="006A3BFE"/>
    <w:rsid w:val="00713A3B"/>
    <w:rsid w:val="00743091"/>
    <w:rsid w:val="0096757C"/>
    <w:rsid w:val="009A2154"/>
    <w:rsid w:val="00A00844"/>
    <w:rsid w:val="00B00D6E"/>
    <w:rsid w:val="00B057C5"/>
    <w:rsid w:val="00B57907"/>
    <w:rsid w:val="00B60D4A"/>
    <w:rsid w:val="00BD3180"/>
    <w:rsid w:val="00BE5264"/>
    <w:rsid w:val="00C03EBA"/>
    <w:rsid w:val="00C5146A"/>
    <w:rsid w:val="00E51E63"/>
    <w:rsid w:val="00EF205F"/>
    <w:rsid w:val="00F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7F80F"/>
  <w15:chartTrackingRefBased/>
  <w15:docId w15:val="{9880E5C6-044B-47B7-A166-0D3719B4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8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0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0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0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0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0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0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0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0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">
    <w:name w:val="TABLE OF CONTENTS"/>
    <w:basedOn w:val="Normal"/>
    <w:link w:val="TABLEOFCONTENTSChar"/>
    <w:qFormat/>
    <w:rsid w:val="00A00844"/>
    <w:pPr>
      <w:spacing w:line="48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TABLEOFCONTENTSChar">
    <w:name w:val="TABLE OF CONTENTS Char"/>
    <w:basedOn w:val="DefaultParagraphFont"/>
    <w:link w:val="TABLEOFCONTENTS"/>
    <w:rsid w:val="00A0084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6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04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04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0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F84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F84"/>
    <w:rPr>
      <w:rFonts w:ascii="Calibri" w:hAnsi="Calibri" w:cs="Calibri"/>
      <w:kern w:val="0"/>
      <w14:ligatures w14:val="none"/>
    </w:rPr>
  </w:style>
  <w:style w:type="paragraph" w:styleId="NoSpacing">
    <w:name w:val="No Spacing"/>
    <w:uiPriority w:val="1"/>
    <w:qFormat/>
    <w:rsid w:val="00FA3F8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3F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northeastworkforceboard.com/about-us/polic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ortheastworkforceboard.com/about-us/polici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northeastworkforceboard.com/wp-content/uploads/2023/01/Individual-Training-Account-Policy-05.11.2022-Accessibl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5E0BD11AD844B9B2C3626149135C" ma:contentTypeVersion="4" ma:contentTypeDescription="Create a new document." ma:contentTypeScope="" ma:versionID="d186fbd72fc9d25a21928a76aa838e51">
  <xsd:schema xmlns:xsd="http://www.w3.org/2001/XMLSchema" xmlns:xs="http://www.w3.org/2001/XMLSchema" xmlns:p="http://schemas.microsoft.com/office/2006/metadata/properties" xmlns:ns2="fb2dfd95-0c7b-42e2-a10f-9fc0723e0c7f" targetNamespace="http://schemas.microsoft.com/office/2006/metadata/properties" ma:root="true" ma:fieldsID="2dd083a7660f69589f8bac96a210382c" ns2:_="">
    <xsd:import namespace="fb2dfd95-0c7b-42e2-a10f-9fc0723e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fd95-0c7b-42e2-a10f-9fc0723e0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72A30-79FD-466D-8757-E5F5F6A93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0B33D-25E2-46DF-9C10-D565D3623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EDAAB5-BDF4-4EA9-94F1-DA5AE6D23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dfd95-0c7b-42e2-a10f-9fc0723e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Graf</dc:creator>
  <cp:keywords/>
  <dc:description/>
  <cp:lastModifiedBy>Ashley Arenivar</cp:lastModifiedBy>
  <cp:revision>3</cp:revision>
  <dcterms:created xsi:type="dcterms:W3CDTF">2024-07-29T17:07:00Z</dcterms:created>
  <dcterms:modified xsi:type="dcterms:W3CDTF">2024-07-29T17:10:00Z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0x0101008D955E0BD11AD844B9B2C3626149135C</vt:lpwstr>
  </property>
  <property fmtid="{D5CDD505-2E9C-101B-9397-08002B2CF9AE}" pid="3" name="GrammarlyDocumentId">
    <vt:lpwstr>e7a99f224afbc3b9a66cd33154273f94b83ecd24bac23db7b317b57aa8f5a3bb</vt:lpwstr>
  </property>
</Properties>
</file>